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FORMATO PARA REVISIÓN DE TRADUCCIÓN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DATOS DE LA SOLICITUD (llenado por la SLI)</w:t>
      </w:r>
    </w:p>
    <w:tbl>
      <w:tblPr>
        <w:tblStyle w:val="Table1"/>
        <w:tblW w:w="13878.0" w:type="dxa"/>
        <w:jc w:val="left"/>
        <w:tblInd w:w="-815.0" w:type="dxa"/>
        <w:tblLayout w:type="fixed"/>
        <w:tblLook w:val="0000"/>
      </w:tblPr>
      <w:tblGrid>
        <w:gridCol w:w="4019"/>
        <w:gridCol w:w="9859"/>
        <w:tblGridChange w:id="0">
          <w:tblGrid>
            <w:gridCol w:w="4019"/>
            <w:gridCol w:w="9859"/>
          </w:tblGrid>
        </w:tblGridChange>
      </w:tblGrid>
      <w:tr>
        <w:trPr>
          <w:cantSplit w:val="0"/>
          <w:trHeight w:val="283"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3">
            <w:pPr>
              <w:widowControl w:val="0"/>
              <w:rPr>
                <w:rFonts w:ascii="Roboto" w:cs="Roboto" w:eastAsia="Roboto" w:hAnsi="Roboto"/>
                <w:b w:val="1"/>
                <w:bCs w:val="1"/>
                <w:color w:val="404040"/>
              </w:rPr>
            </w:pPr>
            <w:bookmarkStart w:colFirst="0" w:colLast="0" w:name="_heading=h.86kkuy22rf5o" w:id="0"/>
            <w:bookmarkEnd w:id="0"/>
            <w:r w:rsidDel="00000000" w:rsidR="00000000" w:rsidRPr="00000000">
              <w:rPr>
                <w:rFonts w:ascii="Roboto" w:cs="Roboto" w:eastAsia="Roboto" w:hAnsi="Roboto"/>
                <w:b w:val="1"/>
                <w:bCs w:val="1"/>
                <w:color w:val="404040"/>
                <w:rtl w:val="0"/>
              </w:rPr>
              <w:t xml:space="preserve">Título de la traducción</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4">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RESUMEN DE LA LEY DEL SISTEMA DE CUIDADOS DE LA CIUDAD DE MÉXICO</w:t>
            </w:r>
          </w:p>
        </w:tc>
      </w:tr>
      <w:tr>
        <w:trPr>
          <w:cantSplit w:val="0"/>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5">
            <w:pPr>
              <w:widowControl w:val="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Solicitante</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6">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COMISIÓN DE IGUALDAD DE GÉNERO DEL CONGRESO DE LA CIUDAD DE MÉXICO.</w:t>
            </w:r>
          </w:p>
        </w:tc>
      </w:tr>
    </w:tbl>
    <w:p w:rsidR="00000000" w:rsidDel="00000000" w:rsidP="00000000" w:rsidRDefault="00000000" w:rsidRPr="00000000" w14:paraId="00000007">
      <w:pPr>
        <w:rPr>
          <w:rFonts w:ascii="Roboto" w:cs="Roboto" w:eastAsia="Roboto" w:hAnsi="Roboto"/>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DATOS DEL TRADUCTOR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(llenado por el traductor)</w:t>
      </w:r>
    </w:p>
    <w:tbl>
      <w:tblPr>
        <w:tblStyle w:val="Table2"/>
        <w:tblW w:w="13878.000000000002" w:type="dxa"/>
        <w:jc w:val="left"/>
        <w:tblInd w:w="-815.0" w:type="dxa"/>
        <w:tblLayout w:type="fixed"/>
        <w:tblLook w:val="0000"/>
      </w:tblPr>
      <w:tblGrid>
        <w:gridCol w:w="4011"/>
        <w:gridCol w:w="9867"/>
        <w:tblGridChange w:id="0">
          <w:tblGrid>
            <w:gridCol w:w="4011"/>
            <w:gridCol w:w="9867"/>
          </w:tblGrid>
        </w:tblGridChange>
      </w:tblGrid>
      <w:tr>
        <w:trPr>
          <w:cantSplit w:val="0"/>
          <w:trHeight w:val="283"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9">
            <w:pPr>
              <w:widowControl w:val="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Nombre de la persona traductora</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A">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Cruz Alberto Rosas García</w:t>
            </w:r>
          </w:p>
        </w:tc>
      </w:tr>
      <w:tr>
        <w:trPr>
          <w:cantSplit w:val="0"/>
          <w:trHeight w:val="457"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B">
            <w:pPr>
              <w:widowControl w:val="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Lengua y variante</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C">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Lengua Mazateca. Variante de San Lucas Zoquiápam.</w:t>
            </w:r>
          </w:p>
        </w:tc>
      </w:tr>
      <w:tr>
        <w:trPr>
          <w:cantSplit w:val="0"/>
          <w:trHeight w:val="457" w:hRule="atLeast"/>
          <w:tblHeader w:val="0"/>
        </w:trPr>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D">
            <w:pPr>
              <w:widowControl w:val="0"/>
              <w:rPr>
                <w:rFonts w:ascii="Roboto" w:cs="Roboto" w:eastAsia="Roboto" w:hAnsi="Roboto"/>
                <w:b w:val="1"/>
                <w:bCs w:val="1"/>
                <w:color w:val="404040"/>
              </w:rPr>
            </w:pPr>
            <w:r w:rsidDel="00000000" w:rsidR="00000000" w:rsidRPr="00000000">
              <w:rPr>
                <w:rFonts w:ascii="Roboto" w:cs="Roboto" w:eastAsia="Roboto" w:hAnsi="Roboto"/>
                <w:b w:val="1"/>
                <w:bCs w:val="1"/>
                <w:color w:val="404040"/>
                <w:rtl w:val="0"/>
              </w:rPr>
              <w:t xml:space="preserve">Lugar de origen </w:t>
            </w:r>
          </w:p>
          <w:p w:rsidR="00000000" w:rsidDel="00000000" w:rsidP="00000000" w:rsidRDefault="00000000" w:rsidRPr="00000000" w14:paraId="0000000E">
            <w:pPr>
              <w:widowControl w:val="0"/>
              <w:rPr>
                <w:rFonts w:ascii="Roboto" w:cs="Roboto" w:eastAsia="Roboto" w:hAnsi="Roboto"/>
                <w:b w:val="1"/>
                <w:bCs w:val="1"/>
                <w:color w:val="404040"/>
              </w:rPr>
            </w:pPr>
            <w:r w:rsidDel="00000000" w:rsidR="00000000" w:rsidRPr="00000000">
              <w:rPr>
                <w:rFonts w:ascii="Roboto" w:cs="Roboto" w:eastAsia="Roboto" w:hAnsi="Roboto"/>
                <w:color w:val="404040"/>
                <w:rtl w:val="0"/>
              </w:rPr>
              <w:t xml:space="preserve">(localidad, municipio y estado)</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0F">
            <w:pPr>
              <w:widowControl w:val="0"/>
              <w:rPr>
                <w:rFonts w:ascii="Roboto" w:cs="Roboto" w:eastAsia="Roboto" w:hAnsi="Roboto"/>
                <w:color w:val="404040"/>
              </w:rPr>
            </w:pPr>
            <w:r w:rsidDel="00000000" w:rsidR="00000000" w:rsidRPr="00000000">
              <w:rPr>
                <w:rFonts w:ascii="Roboto" w:cs="Roboto" w:eastAsia="Roboto" w:hAnsi="Roboto"/>
                <w:color w:val="404040"/>
                <w:rtl w:val="0"/>
              </w:rPr>
              <w:t xml:space="preserve">Agua de Niño, San Lucas Zoquiápam, Oaxaca.</w:t>
            </w:r>
          </w:p>
        </w:tc>
      </w:tr>
    </w:tbl>
    <w:p w:rsidR="00000000" w:rsidDel="00000000" w:rsidP="00000000" w:rsidRDefault="00000000" w:rsidRPr="00000000" w14:paraId="00000010">
      <w:pPr>
        <w:spacing w:line="240" w:lineRule="auto"/>
        <w:jc w:val="both"/>
        <w:rPr>
          <w:rFonts w:ascii="Arial" w:cs="Arial" w:eastAsia="Arial" w:hAnsi="Arial"/>
        </w:rPr>
      </w:pPr>
      <w:r w:rsidDel="00000000" w:rsidR="00000000" w:rsidRPr="00000000">
        <w:rPr>
          <w:rtl w:val="0"/>
        </w:rPr>
      </w:r>
    </w:p>
    <w:tbl>
      <w:tblPr>
        <w:tblStyle w:val="Table3"/>
        <w:tblW w:w="13893.0" w:type="dxa"/>
        <w:jc w:val="left"/>
        <w:tblInd w:w="-856.0" w:type="dxa"/>
        <w:tblLayout w:type="fixed"/>
        <w:tblLook w:val="0000"/>
      </w:tblPr>
      <w:tblGrid>
        <w:gridCol w:w="575"/>
        <w:gridCol w:w="7194"/>
        <w:gridCol w:w="6124"/>
        <w:tblGridChange w:id="0">
          <w:tblGrid>
            <w:gridCol w:w="575"/>
            <w:gridCol w:w="7194"/>
            <w:gridCol w:w="6124"/>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0"/>
              <w:spacing w:after="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TEXTO FUENTE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spacing w:after="0" w:line="240"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TRADUCCIÓN</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spacing w:after="0" w:line="276" w:lineRule="auto"/>
              <w:rPr>
                <w:rFonts w:ascii="Roboto" w:cs="Roboto" w:eastAsia="Roboto" w:hAnsi="Roboto"/>
              </w:rPr>
            </w:pPr>
            <w:r w:rsidDel="00000000" w:rsidR="00000000" w:rsidRPr="00000000">
              <w:rPr>
                <w:rFonts w:ascii="Roboto" w:cs="Roboto" w:eastAsia="Roboto" w:hAnsi="Roboto"/>
                <w:rtl w:val="0"/>
              </w:rPr>
              <w:t xml:space="preserve">La Ley del Sistema de Cuidados tiene por objetivo garantizar el derecho humano en tres formas: </w:t>
            </w:r>
          </w:p>
          <w:p w:rsidR="00000000" w:rsidDel="00000000" w:rsidP="00000000" w:rsidRDefault="00000000" w:rsidRPr="00000000" w14:paraId="00000016">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el derecho a recibir cuidados, </w:t>
            </w:r>
          </w:p>
          <w:p w:rsidR="00000000" w:rsidDel="00000000" w:rsidP="00000000" w:rsidRDefault="00000000" w:rsidRPr="00000000" w14:paraId="00000017">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a brindar cuidados </w:t>
            </w:r>
          </w:p>
          <w:p w:rsidR="00000000" w:rsidDel="00000000" w:rsidP="00000000" w:rsidRDefault="00000000" w:rsidRPr="00000000" w14:paraId="00000018">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y al autocuidado.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t xml:space="preserve">Jé Kuatéxoma ri Ley del Sistema de Cuidados jmí, jan kjua fítjenguí mení nga se ri derecho humano mí:</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Nga tjin derecho nga kuankíndá</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Nga sikínda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Kjua nga nikínda ijona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jc w:val="both"/>
              <w:rPr>
                <w:rFonts w:ascii="Roboto" w:cs="Roboto" w:eastAsia="Roboto" w:hAnsi="Roboto"/>
                <w:color w:val="000000"/>
              </w:rPr>
            </w:pPr>
            <w:r w:rsidDel="00000000" w:rsidR="00000000" w:rsidRPr="00000000">
              <w:rPr>
                <w:rFonts w:ascii="Roboto" w:cs="Roboto" w:eastAsia="Roboto" w:hAnsi="Roboto"/>
                <w:color w:val="000000"/>
                <w:rtl w:val="0"/>
              </w:rPr>
              <w:t xml:space="preserve">Para ello es necesario, reconocer, valorar y modificar la carga de trabajo del cuidado hacia las mujeres, porque mayoritariamente ellas tienen esta carga.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pPr>
            <w:r w:rsidDel="00000000" w:rsidR="00000000" w:rsidRPr="00000000">
              <w:rPr>
                <w:rtl w:val="0"/>
              </w:rPr>
              <w:t xml:space="preserve">Ta ri nga kua koma, jé maschén nga schal</w:t>
            </w:r>
            <w:r w:rsidDel="00000000" w:rsidR="00000000" w:rsidRPr="00000000">
              <w:rPr>
                <w:u w:val="single"/>
                <w:rtl w:val="0"/>
              </w:rPr>
              <w:t xml:space="preserve">a, </w:t>
            </w:r>
            <w:r w:rsidDel="00000000" w:rsidR="00000000" w:rsidRPr="00000000">
              <w:rPr>
                <w:rtl w:val="0"/>
              </w:rPr>
              <w:t xml:space="preserve">nga chjíla rí sín, kjua jen xá ri sín ichjin, nga tashki ñó gué xá, kjua tashki xá ri sín ri njña.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76" w:lineRule="auto"/>
              <w:jc w:val="both"/>
              <w:rPr>
                <w:rFonts w:ascii="Roboto" w:cs="Roboto" w:eastAsia="Roboto" w:hAnsi="Roboto"/>
              </w:rPr>
            </w:pPr>
            <w:r w:rsidDel="00000000" w:rsidR="00000000" w:rsidRPr="00000000">
              <w:rPr>
                <w:rFonts w:ascii="Roboto" w:cs="Roboto" w:eastAsia="Roboto" w:hAnsi="Roboto"/>
                <w:rtl w:val="0"/>
              </w:rPr>
              <w:t xml:space="preserve">Se busca que la responsabilidad del cuidado sea compartida entre el Gobierno de la Ciudad, las alcaldías, la comunidad y las empresas, para impulsar la redistribución de los cuidados en todos los ámbitos de la vida.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rPr/>
            </w:pPr>
            <w:r w:rsidDel="00000000" w:rsidR="00000000" w:rsidRPr="00000000">
              <w:rPr>
                <w:rtl w:val="0"/>
              </w:rPr>
              <w:t xml:space="preserve">Xe ri kjua xkóntokon chjala ri makinda, ri manjchén ko jé Gobierno de la Ciudad, jé alcaldías, naxinandá ko empresas, meni nga kuabisón jé kjua makinda ngashe meri jnía bi kuabijnachónná.</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line="276" w:lineRule="auto"/>
              <w:jc w:val="both"/>
              <w:rPr>
                <w:rFonts w:ascii="Roboto" w:cs="Roboto" w:eastAsia="Roboto" w:hAnsi="Roboto"/>
                <w:color w:val="000000"/>
              </w:rPr>
            </w:pPr>
            <w:r w:rsidDel="00000000" w:rsidR="00000000" w:rsidRPr="00000000">
              <w:rPr>
                <w:rFonts w:ascii="Roboto" w:cs="Roboto" w:eastAsia="Roboto" w:hAnsi="Roboto"/>
                <w:rtl w:val="0"/>
              </w:rPr>
              <w:t xml:space="preserve">Por lo tanto, se van a crear condiciones dignas y de buen trato para las personas cuidadoras, con acceso a opciones de servicios y prestaciones, compatibles con el tiempo propio de calidad y adaptadas a las demandas de las personas cuidadoras.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pPr>
            <w:r w:rsidDel="00000000" w:rsidR="00000000" w:rsidRPr="00000000">
              <w:rPr>
                <w:rtl w:val="0"/>
              </w:rPr>
              <w:t xml:space="preserve">Nga kuakomá, kui ri matchén nga nda se, nga nda siko nñá ri sikindaná, nga sela servicio ko prestación je ri tsoyala nga ngo chjine shki, nga sakóyala, ngá nda kjuachjila, meni nga kuati sela nitxjen nga kuitnako ijóla, kjua nga nda se jé ri sijé chjita ri síkinda chjita.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after="0" w:line="276" w:lineRule="auto"/>
              <w:rPr>
                <w:rFonts w:ascii="Roboto" w:cs="Roboto" w:eastAsia="Roboto" w:hAnsi="Roboto"/>
              </w:rPr>
            </w:pPr>
            <w:r w:rsidDel="00000000" w:rsidR="00000000" w:rsidRPr="00000000">
              <w:rPr>
                <w:rFonts w:ascii="Roboto" w:cs="Roboto" w:eastAsia="Roboto" w:hAnsi="Roboto"/>
                <w:rtl w:val="0"/>
              </w:rPr>
              <w:t xml:space="preserve">A ellas se les debe reconocer el valor social y económico de su trabajo pagado y no pagado. Ellas tienen derecho al autocuidado, a la salud física y mental. Como sociedad tenemos una corresponsabilidad en los cuidados que incluye a todas las personas.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pPr>
            <w:r w:rsidDel="00000000" w:rsidR="00000000" w:rsidRPr="00000000">
              <w:rPr>
                <w:rtl w:val="0"/>
              </w:rPr>
              <w:t xml:space="preserve">Ñá itchjin tjinela chjala nga chjíla je ri sin ko naxinandá, ko xá ri matchíla ko ri majín. Nga kua titsó kuatéxoma nga sikinda ijola, nga nda kuijnako ijola kjua nda kuijna kuaíitsenla. Ñá joni naxinandá mína tijnéla kuinyakua xenguía nga nikinda xenguía jottínmana.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76" w:lineRule="auto"/>
              <w:rPr>
                <w:rFonts w:ascii="Roboto" w:cs="Roboto" w:eastAsia="Roboto" w:hAnsi="Roboto"/>
              </w:rPr>
            </w:pPr>
            <w:r w:rsidDel="00000000" w:rsidR="00000000" w:rsidRPr="00000000">
              <w:rPr>
                <w:rFonts w:ascii="Roboto" w:cs="Roboto" w:eastAsia="Roboto" w:hAnsi="Roboto"/>
                <w:rtl w:val="0"/>
              </w:rPr>
              <w:t xml:space="preserve">La política de cuidados ayudará a que todas las personas tengan acceso universal a servicios de cuidado de buena calidad. Esto se hará creando programas y ofreciendo servicios gratuitos.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pPr>
            <w:r w:rsidDel="00000000" w:rsidR="00000000" w:rsidRPr="00000000">
              <w:rPr>
                <w:rtl w:val="0"/>
              </w:rPr>
              <w:t xml:space="preserve">Je ri kjua politica de cuidados jmí, jé kuasekoná ngatsía, nga nda koma, nga nda kuíjo chjita. Nga kua koma tjinéla programa siindá kjua ko ngada ta kjuatjó kuasinla ri sikinda.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76" w:lineRule="auto"/>
              <w:rPr>
                <w:rFonts w:ascii="Roboto" w:cs="Roboto" w:eastAsia="Roboto" w:hAnsi="Roboto"/>
              </w:rPr>
            </w:pPr>
            <w:r w:rsidDel="00000000" w:rsidR="00000000" w:rsidRPr="00000000">
              <w:rPr>
                <w:rFonts w:ascii="Roboto" w:cs="Roboto" w:eastAsia="Roboto" w:hAnsi="Roboto"/>
                <w:rtl w:val="0"/>
              </w:rPr>
              <w:t xml:space="preserve">Los cuidados, están siendo pensados para toda la población, especialmente para las personas que, por su condición de género, clase, pertenencia étnica, fenotípica, edad, orientación sexual e identidad de género, han sido marginados de sus derechos: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tl w:val="0"/>
              </w:rPr>
              <w:t xml:space="preserve">Je kjua makinda, yá tinikitsen ngatsí naxinandá, joní jñá chjita ri, chiba t</w:t>
            </w:r>
            <w:r w:rsidDel="00000000" w:rsidR="00000000" w:rsidRPr="00000000">
              <w:rPr>
                <w:u w:val="single"/>
                <w:rtl w:val="0"/>
              </w:rPr>
              <w:t xml:space="preserve">o</w:t>
            </w:r>
            <w:r w:rsidDel="00000000" w:rsidR="00000000" w:rsidRPr="00000000">
              <w:rPr>
                <w:rtl w:val="0"/>
              </w:rPr>
              <w:t xml:space="preserve">n tjinla, ri ima, ri enná chja,ri tsá niki cjhòn o sa xén tsóyala ijola, ri nó fiko, ri ixhtí, ri nichijin ko kjin tijola ri titsó kuatéxoma.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line="276" w:lineRule="auto"/>
              <w:rPr>
                <w:rFonts w:ascii="Roboto" w:cs="Roboto" w:eastAsia="Roboto" w:hAnsi="Roboto"/>
              </w:rPr>
            </w:pPr>
            <w:r w:rsidDel="00000000" w:rsidR="00000000" w:rsidRPr="00000000">
              <w:rPr>
                <w:rFonts w:ascii="Roboto" w:cs="Roboto" w:eastAsia="Roboto" w:hAnsi="Roboto"/>
                <w:rtl w:val="0"/>
              </w:rPr>
              <w:t xml:space="preserve">El alcance y la protección de los derechos humanos, busca que sean efectivos para el bienestar de toda la población, pero principalmente: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pPr>
            <w:r w:rsidDel="00000000" w:rsidR="00000000" w:rsidRPr="00000000">
              <w:rPr>
                <w:rtl w:val="0"/>
              </w:rPr>
              <w:t xml:space="preserve">Je jokji bitchó ko ri tjó sínná kuatéxoma ri derechos humanos mí, je nga jé fittjinguí kjua kishi ko kjuanda bitnaná ngatsí naxinandá, ta jeri ño kjuan fittenguila jé: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Niñas y niños desde 43 días hasta los 6 años</w:t>
            </w:r>
          </w:p>
          <w:p w:rsidR="00000000" w:rsidDel="00000000" w:rsidP="00000000" w:rsidRDefault="00000000" w:rsidRPr="00000000" w14:paraId="00000034">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Personas con discapacidad (son aquellas personas que tienen alguna dificultad física, sensorial, cognitiva o psicosocial). </w:t>
            </w:r>
          </w:p>
          <w:p w:rsidR="00000000" w:rsidDel="00000000" w:rsidP="00000000" w:rsidRDefault="00000000" w:rsidRPr="00000000" w14:paraId="00000035">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Personas adultas mayores que necesitan ayuda para hacer sus actividades básicas diarias.</w:t>
            </w:r>
          </w:p>
          <w:p w:rsidR="00000000" w:rsidDel="00000000" w:rsidP="00000000" w:rsidRDefault="00000000" w:rsidRPr="00000000" w14:paraId="00000036">
            <w:pPr>
              <w:spacing w:after="0" w:line="276" w:lineRule="auto"/>
              <w:rPr>
                <w:rFonts w:ascii="Roboto" w:cs="Roboto" w:eastAsia="Roboto" w:hAnsi="Roboto"/>
              </w:rPr>
            </w:pPr>
            <w:r w:rsidDel="00000000" w:rsidR="00000000" w:rsidRPr="00000000">
              <w:rPr>
                <w:rFonts w:ascii="Roboto" w:cs="Roboto" w:eastAsia="Roboto" w:hAnsi="Roboto"/>
                <w:rtl w:val="0"/>
              </w:rPr>
              <w:t xml:space="preserve">-</w:t>
              <w:tab/>
              <w:t xml:space="preserve">Personas en situación de calle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pPr>
            <w:r w:rsidDel="00000000" w:rsidR="00000000" w:rsidRPr="00000000">
              <w:rPr>
                <w:rtl w:val="0"/>
              </w:rPr>
              <w:t xml:space="preserve">- Ishti íchjín ko ishti xén ri tjen ichán ján nittjen kitsín skanda j</w:t>
            </w:r>
            <w:r w:rsidDel="00000000" w:rsidR="00000000" w:rsidRPr="00000000">
              <w:rPr>
                <w:u w:val="single"/>
                <w:rtl w:val="0"/>
              </w:rPr>
              <w:t xml:space="preserve">o</w:t>
            </w:r>
            <w:r w:rsidDel="00000000" w:rsidR="00000000" w:rsidRPr="00000000">
              <w:rPr>
                <w:rtl w:val="0"/>
              </w:rPr>
              <w:t xml:space="preserve">n nó tjinla. </w:t>
            </w:r>
          </w:p>
          <w:p w:rsidR="00000000" w:rsidDel="00000000" w:rsidP="00000000" w:rsidRDefault="00000000" w:rsidRPr="00000000" w14:paraId="00000038">
            <w:pPr>
              <w:rPr/>
            </w:pPr>
            <w:r w:rsidDel="00000000" w:rsidR="00000000" w:rsidRPr="00000000">
              <w:rPr>
                <w:rtl w:val="0"/>
              </w:rPr>
              <w:t xml:space="preserve">- Chjita ri íma kjuan (ri niki ma sikjan, ri ima sín, ri nikin nda kjobé kuabitsen, ri tsénka tsá, ri íma kjuan). </w:t>
            </w:r>
          </w:p>
          <w:p w:rsidR="00000000" w:rsidDel="00000000" w:rsidP="00000000" w:rsidRDefault="00000000" w:rsidRPr="00000000" w14:paraId="00000039">
            <w:pPr>
              <w:rPr/>
            </w:pPr>
            <w:r w:rsidDel="00000000" w:rsidR="00000000" w:rsidRPr="00000000">
              <w:rPr>
                <w:rtl w:val="0"/>
              </w:rPr>
              <w:t xml:space="preserve">- Chjita schínga ri makinda nyijón, nyijón.</w:t>
            </w:r>
          </w:p>
          <w:p w:rsidR="00000000" w:rsidDel="00000000" w:rsidP="00000000" w:rsidRDefault="00000000" w:rsidRPr="00000000" w14:paraId="0000003A">
            <w:pPr>
              <w:rPr/>
            </w:pPr>
            <w:r w:rsidDel="00000000" w:rsidR="00000000" w:rsidRPr="00000000">
              <w:rPr>
                <w:rtl w:val="0"/>
              </w:rPr>
              <w:t xml:space="preserve">-Chjita ri tsénla niya, ri bimanyó ndiyá o tsá me calle. </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76" w:lineRule="auto"/>
              <w:rPr>
                <w:rFonts w:ascii="Roboto" w:cs="Roboto" w:eastAsia="Roboto" w:hAnsi="Roboto"/>
              </w:rPr>
            </w:pPr>
            <w:r w:rsidDel="00000000" w:rsidR="00000000" w:rsidRPr="00000000">
              <w:rPr>
                <w:rFonts w:ascii="Roboto" w:cs="Roboto" w:eastAsia="Roboto" w:hAnsi="Roboto"/>
                <w:rtl w:val="0"/>
              </w:rPr>
              <w:t xml:space="preserve">Las personas beneficiarias de los Sistemas de Cuidados tendrán derecho a recibir cuidados de calidad, a un trato digno y respetuoso de las personas que dan el servicio; contarán con información clara y oportuna sobre estos servicios y se les respetará la autonomía en la toma de decisiones.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pPr>
            <w:r w:rsidDel="00000000" w:rsidR="00000000" w:rsidRPr="00000000">
              <w:rPr>
                <w:rtl w:val="0"/>
              </w:rPr>
              <w:t xml:space="preserve">Njñá chjita ri bakola Sistemas de Cuidados tjinéla ñó nda kuakinda, nga nda kuasínla, ko kuashkótokón, ri tsá jé kjuanda jé; sé la chjita ri kuitsóyala jé kjua chjine jé, ri jo tsóyala jé, kjúan xkó siko nga tjobé ngo kjuabitsen meni nga nda seni.</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276" w:lineRule="auto"/>
              <w:rPr>
                <w:rFonts w:ascii="Roboto" w:cs="Roboto" w:eastAsia="Roboto" w:hAnsi="Roboto"/>
              </w:rPr>
            </w:pPr>
            <w:r w:rsidDel="00000000" w:rsidR="00000000" w:rsidRPr="00000000">
              <w:rPr>
                <w:rFonts w:ascii="Roboto" w:cs="Roboto" w:eastAsia="Roboto" w:hAnsi="Roboto"/>
                <w:rtl w:val="0"/>
              </w:rPr>
              <w:t xml:space="preserve">Las personas serán guiadas en su alimentación para que esta sea nutritiva y balanceada, también tendrán seguimiento de salud en la atención a sus enfermedades según tratamientos y coordinación con las instancias de salud.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pPr>
            <w:r w:rsidDel="00000000" w:rsidR="00000000" w:rsidRPr="00000000">
              <w:rPr>
                <w:rtl w:val="0"/>
              </w:rPr>
              <w:t xml:space="preserve">Jñá chjita kua kuíyánla jó sín kjuanjen, mé ri ma skine, meni nga chjá se ni, kuati kuínla nga nda kuijna, nga niki chín sela, kjua tsá chjín tjinla sé la xki ko chjine xki.</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0"/>
              <w:spacing w:after="0" w:line="240"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276" w:lineRule="auto"/>
              <w:rPr>
                <w:rFonts w:ascii="Roboto" w:cs="Roboto" w:eastAsia="Roboto" w:hAnsi="Roboto"/>
              </w:rPr>
            </w:pPr>
            <w:r w:rsidDel="00000000" w:rsidR="00000000" w:rsidRPr="00000000">
              <w:rPr>
                <w:rFonts w:ascii="Roboto" w:cs="Roboto" w:eastAsia="Roboto" w:hAnsi="Roboto"/>
                <w:rtl w:val="0"/>
              </w:rPr>
              <w:t xml:space="preserve">El sistema de cuidados busca el disfrute de la vida a través del juego, descanso y esparcimiento. Esto se hace según lo que quiera la persona o sus tutores. También depende de la etapa de la vida, las condiciones de salud, la situación de dependencia y el contexto cultural, familiar y territorial.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pPr>
            <w:r w:rsidDel="00000000" w:rsidR="00000000" w:rsidRPr="00000000">
              <w:rPr>
                <w:rtl w:val="0"/>
              </w:rPr>
              <w:t xml:space="preserve">Je sistema de cuidados, kui batsí ri nga da kuijua, ko kjuaniská, kjua nikjaya, kjua shjejtá. Ta kuima, ke nga kjuasímijela chjita o tsá ri sikinda. Kuati be je ri, a schá o sa kindí, a shkí manchenla, ya ri bakola, o sa ñáni kjuaschá, ko niyala, ko nanguila. </w:t>
            </w:r>
          </w:p>
        </w:tc>
      </w:tr>
    </w:tbl>
    <w:p w:rsidR="00000000" w:rsidDel="00000000" w:rsidP="00000000" w:rsidRDefault="00000000" w:rsidRPr="00000000" w14:paraId="00000044">
      <w:pPr>
        <w:tabs>
          <w:tab w:val="left" w:leader="none" w:pos="2520"/>
        </w:tabs>
        <w:rPr/>
      </w:pPr>
      <w:r w:rsidDel="00000000" w:rsidR="00000000" w:rsidRPr="00000000">
        <w:rPr>
          <w:rtl w:val="0"/>
        </w:rPr>
      </w:r>
    </w:p>
    <w:p w:rsidR="00000000" w:rsidDel="00000000" w:rsidP="00000000" w:rsidRDefault="00000000" w:rsidRPr="00000000" w14:paraId="00000045">
      <w:pPr>
        <w:spacing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FIN DE LA TRADUCCIÓN</w:t>
      </w:r>
    </w:p>
    <w:sectPr>
      <w:pgSz w:h="12240" w:w="15840" w:orient="landscape"/>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a2" w:customStyle="1">
    <w:basedOn w:val="TableNormal0"/>
    <w:tblPr>
      <w:tblStyleRowBandSize w:val="1"/>
      <w:tblStyleColBandSize w:val="1"/>
      <w:tblCellMar>
        <w:left w:w="115.0" w:type="dxa"/>
        <w:right w:w="115.0" w:type="dxa"/>
      </w:tblCellMar>
    </w:tblPr>
  </w:style>
  <w:style w:type="table" w:styleId="a3" w:customStyle="1">
    <w:basedOn w:val="TableNormal0"/>
    <w:tblPr>
      <w:tblStyleRowBandSize w:val="1"/>
      <w:tblStyleColBandSize w:val="1"/>
      <w:tblCellMar>
        <w:left w:w="115.0" w:type="dxa"/>
        <w:right w:w="115.0" w:type="dxa"/>
      </w:tblCellMar>
    </w:tblPr>
  </w:style>
  <w:style w:type="table" w:styleId="a4" w:customStyle="1">
    <w:basedOn w:val="TableNormal0"/>
    <w:tblPr>
      <w:tblStyleRowBandSize w:val="1"/>
      <w:tblStyleColBandSize w:val="1"/>
      <w:tblCellMar>
        <w:left w:w="115.0" w:type="dxa"/>
        <w:right w:w="115.0" w:type="dxa"/>
      </w:tblCellMar>
    </w:tblPr>
  </w:style>
  <w:style w:type="character" w:styleId="Refdecomentario">
    <w:name w:val="annotation reference"/>
    <w:basedOn w:val="Fuentedeprrafopredeter"/>
    <w:uiPriority w:val="99"/>
    <w:semiHidden w:val="1"/>
    <w:unhideWhenUsed w:val="1"/>
    <w:rsid w:val="004425E3"/>
    <w:rPr>
      <w:sz w:val="16"/>
      <w:szCs w:val="16"/>
    </w:rPr>
  </w:style>
  <w:style w:type="paragraph" w:styleId="Textocomentario">
    <w:name w:val="annotation text"/>
    <w:basedOn w:val="Normal"/>
    <w:link w:val="TextocomentarioCar"/>
    <w:uiPriority w:val="99"/>
    <w:semiHidden w:val="1"/>
    <w:unhideWhenUsed w:val="1"/>
    <w:rsid w:val="004425E3"/>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425E3"/>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425E3"/>
    <w:rPr>
      <w:b w:val="1"/>
      <w:bCs w:val="1"/>
    </w:rPr>
  </w:style>
  <w:style w:type="character" w:styleId="AsuntodelcomentarioCar" w:customStyle="1">
    <w:name w:val="Asunto del comentario Car"/>
    <w:basedOn w:val="TextocomentarioCar"/>
    <w:link w:val="Asuntodelcomentario"/>
    <w:uiPriority w:val="99"/>
    <w:semiHidden w:val="1"/>
    <w:rsid w:val="004425E3"/>
    <w:rPr>
      <w:b w:val="1"/>
      <w:bCs w:val="1"/>
      <w:sz w:val="20"/>
      <w:szCs w:val="20"/>
    </w:rPr>
  </w:style>
  <w:style w:type="paragraph" w:styleId="Revisin">
    <w:name w:val="Revision"/>
    <w:hidden w:val="1"/>
    <w:uiPriority w:val="99"/>
    <w:semiHidden w:val="1"/>
    <w:rsid w:val="00623415"/>
    <w:pPr>
      <w:spacing w:after="0" w:line="240" w:lineRule="auto"/>
    </w:pPr>
  </w:style>
  <w:style w:type="paragraph" w:styleId="Prrafodelista">
    <w:name w:val="List Paragraph"/>
    <w:basedOn w:val="Normal"/>
    <w:uiPriority w:val="34"/>
    <w:qFormat w:val="1"/>
    <w:rsid w:val="002061C1"/>
    <w:pPr>
      <w:ind w:left="720"/>
      <w:contextualSpacing w:val="1"/>
    </w:pPr>
  </w:style>
  <w:style w:type="paragraph" w:styleId="Textonotapie">
    <w:name w:val="footnote text"/>
    <w:basedOn w:val="Normal"/>
    <w:link w:val="TextonotapieCar"/>
    <w:uiPriority w:val="99"/>
    <w:semiHidden w:val="1"/>
    <w:unhideWhenUsed w:val="1"/>
    <w:rsid w:val="00C51488"/>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C51488"/>
    <w:rPr>
      <w:sz w:val="20"/>
      <w:szCs w:val="20"/>
    </w:rPr>
  </w:style>
  <w:style w:type="character" w:styleId="Refdenotaalpie">
    <w:name w:val="footnote reference"/>
    <w:basedOn w:val="Fuentedeprrafopredeter"/>
    <w:uiPriority w:val="99"/>
    <w:semiHidden w:val="1"/>
    <w:unhideWhenUsed w:val="1"/>
    <w:rsid w:val="00C51488"/>
    <w:rPr>
      <w:vertAlign w:val="superscript"/>
    </w:rPr>
  </w:style>
  <w:style w:type="paragraph" w:styleId="Textoindependiente">
    <w:name w:val="Body Text"/>
    <w:basedOn w:val="Normal"/>
    <w:link w:val="TextoindependienteCar"/>
    <w:uiPriority w:val="99"/>
    <w:unhideWhenUsed w:val="1"/>
    <w:rsid w:val="006C51D4"/>
    <w:pPr>
      <w:spacing w:after="120"/>
    </w:pPr>
  </w:style>
  <w:style w:type="character" w:styleId="TextoindependienteCar" w:customStyle="1">
    <w:name w:val="Texto independiente Car"/>
    <w:basedOn w:val="Fuentedeprrafopredeter"/>
    <w:link w:val="Textoindependiente"/>
    <w:uiPriority w:val="99"/>
    <w:rsid w:val="006C51D4"/>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FHBk8EvyVWPmjhgmF0Pd8XjDg==">CgMxLjAyDmguODZra3V5MjJyZjVvOAByITFicFlCMjBQQ0R6ZDFKdzNFeXY0UGJ2UmoySU5LdnJuQQ==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2026-02-25T19:47:00Z</dcterms:created>
  <dc:creator>SEPI_539</dc:creator>
</cp:coreProperties>
</file>